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b w:val="1"/>
          <w:sz w:val="64"/>
          <w:szCs w:val="64"/>
        </w:rPr>
      </w:pPr>
      <w:r w:rsidDel="00000000" w:rsidR="00000000" w:rsidRPr="00000000">
        <w:rPr>
          <w:rFonts w:ascii="Patrick Hand" w:cs="Patrick Hand" w:eastAsia="Patrick Hand" w:hAnsi="Patrick Hand"/>
          <w:b w:val="1"/>
          <w:sz w:val="40"/>
          <w:szCs w:val="40"/>
          <w:rtl w:val="0"/>
        </w:rPr>
        <w:t xml:space="preserve">collage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AOLE: Expressive Arts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4 Purposes: </w:t>
            </w:r>
            <w:r w:rsidDel="00000000" w:rsidR="00000000" w:rsidRPr="00000000">
              <w:rPr>
                <w:b w:val="1"/>
                <w:color w:val="1f1f1f"/>
                <w:sz w:val="27"/>
                <w:szCs w:val="27"/>
                <w:highlight w:val="white"/>
                <w:rtl w:val="0"/>
              </w:rPr>
              <w:t xml:space="preserve">enterprising, creative contributors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WM: </w:t>
            </w:r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Creating combines skills and knowledge, drawing on the senses, inspiration and imagination.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DL: </w:t>
            </w:r>
            <w:r w:rsidDel="00000000" w:rsidR="00000000" w:rsidRPr="00000000">
              <w:rPr>
                <w:color w:val="1f1f1f"/>
                <w:sz w:val="24"/>
                <w:szCs w:val="24"/>
                <w:highlight w:val="white"/>
                <w:rtl w:val="0"/>
              </w:rPr>
              <w:t xml:space="preserve">I can combine my knowledge, experience and understanding to plan and communicate my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creative work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1f1f1f"/>
                <w:sz w:val="24"/>
                <w:szCs w:val="24"/>
                <w:highlight w:val="white"/>
                <w:rtl w:val="0"/>
              </w:rPr>
              <w:t xml:space="preserve">for a range of different audiences, purposes and outcomes.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LO: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research artwork from the artist Marian Hill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use collage to make my own insect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Introduction: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on a bug hunt in your yard, playground, woodland area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https://www.youtube.com/watch?v=NaB--lU1KH0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this great clip of slo mo insects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the insect posters from Buss and scuttle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https://www.buzzandscuttle.com/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Main body: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 the guidelines in collage workshops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will need tracing paper, insect outlines to underlay, lots of coloured paper, magazines, coloured pictures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Extension: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Plenary: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share, evaluate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Resources: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aB--lU1KH0" TargetMode="External"/><Relationship Id="rId7" Type="http://schemas.openxmlformats.org/officeDocument/2006/relationships/hyperlink" Target="https://www.buzzandscuttl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